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C5EB6A9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334256">
        <w:rPr>
          <w:rFonts w:ascii="Calibri" w:eastAsia="Times" w:hAnsi="Calibri" w:cs="Calibri"/>
          <w:b/>
          <w:bCs w:val="0"/>
          <w:szCs w:val="24"/>
        </w:rPr>
        <w:t>3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17240A01" w14:textId="194F350E" w:rsidR="000928C9" w:rsidRPr="003443D6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3443D6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OŚWIADCZENI</w:t>
            </w:r>
            <w:r w:rsidR="003367E7" w:rsidRPr="003443D6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A</w:t>
            </w:r>
            <w:r w:rsidRPr="003443D6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  <w:r w:rsidR="003443D6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 xml:space="preserve">, art. 125 </w:t>
            </w:r>
            <w:proofErr w:type="spellStart"/>
            <w:r w:rsidR="003443D6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Pzp</w:t>
            </w:r>
            <w:proofErr w:type="spellEnd"/>
          </w:p>
          <w:p w14:paraId="5CA084AE" w14:textId="77777777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594061" w:rsidRDefault="00FF3092" w:rsidP="0049505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10E16AC5" w14:textId="77777777" w:rsidR="005A7010" w:rsidRPr="005A7010" w:rsidRDefault="005A7010" w:rsidP="005A7010">
      <w:pPr>
        <w:spacing w:line="360" w:lineRule="auto"/>
        <w:contextualSpacing/>
        <w:jc w:val="both"/>
        <w:rPr>
          <w:rFonts w:ascii="Verdana" w:hAnsi="Verdana"/>
          <w:b/>
          <w:bCs/>
          <w:sz w:val="22"/>
          <w:szCs w:val="22"/>
        </w:rPr>
      </w:pPr>
      <w:r w:rsidRPr="005A7010">
        <w:rPr>
          <w:rFonts w:ascii="Verdana" w:hAnsi="Verdana"/>
          <w:sz w:val="22"/>
          <w:szCs w:val="22"/>
        </w:rPr>
        <w:t>Wykonawca w postępowaniu o udzielenie zamówienia prowadzonego w trybie przetargu nieograniczonego pn.:</w:t>
      </w:r>
      <w:r w:rsidRPr="005A7010">
        <w:rPr>
          <w:rFonts w:ascii="Verdana" w:hAnsi="Verdana"/>
          <w:b/>
          <w:bCs/>
          <w:sz w:val="22"/>
          <w:szCs w:val="22"/>
        </w:rPr>
        <w:t xml:space="preserve"> </w:t>
      </w:r>
    </w:p>
    <w:p w14:paraId="1C2C3073" w14:textId="77D96C85" w:rsidR="001355E3" w:rsidRPr="001355E3" w:rsidRDefault="001355E3" w:rsidP="001355E3">
      <w:pPr>
        <w:pStyle w:val="Akapitzlist"/>
        <w:spacing w:line="360" w:lineRule="auto"/>
        <w:ind w:left="357"/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1355E3">
        <w:rPr>
          <w:rFonts w:ascii="Verdana" w:eastAsia="Times" w:hAnsi="Verdana" w:cs="Calibri"/>
          <w:b/>
          <w:bCs/>
          <w:sz w:val="22"/>
          <w:szCs w:val="22"/>
        </w:rPr>
        <w:t>„Odbiór i zagospodarowanie odpadów komunalnych z terenu</w:t>
      </w:r>
    </w:p>
    <w:p w14:paraId="04388349" w14:textId="664B7521" w:rsidR="00D00BDA" w:rsidRPr="00D00BDA" w:rsidRDefault="001355E3" w:rsidP="001355E3">
      <w:pPr>
        <w:pStyle w:val="Akapitzlist"/>
        <w:spacing w:line="360" w:lineRule="auto"/>
        <w:ind w:left="357"/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1355E3">
        <w:rPr>
          <w:rFonts w:ascii="Verdana" w:eastAsia="Times" w:hAnsi="Verdana" w:cs="Calibri"/>
          <w:b/>
          <w:bCs/>
          <w:sz w:val="22"/>
          <w:szCs w:val="22"/>
        </w:rPr>
        <w:t>Gminy Sobienie-Jeziory”</w:t>
      </w:r>
    </w:p>
    <w:p w14:paraId="33B219E7" w14:textId="055EDC31" w:rsidR="008C6BF9" w:rsidRPr="008C6BF9" w:rsidRDefault="008C6BF9" w:rsidP="008C6BF9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t xml:space="preserve">Do oferty wykonawca dołącza oświadczenie o niepodleganiu wykluczeniu, spełnianiu warunków udziału w postępowaniu, w zakresie wskazanym przez </w:t>
      </w:r>
      <w:r>
        <w:rPr>
          <w:rFonts w:ascii="Verdana" w:hAnsi="Verdana"/>
          <w:sz w:val="22"/>
          <w:szCs w:val="22"/>
        </w:rPr>
        <w:t>Z</w:t>
      </w:r>
      <w:r w:rsidRPr="008C6BF9">
        <w:rPr>
          <w:rFonts w:ascii="Verdana" w:hAnsi="Verdana"/>
          <w:sz w:val="22"/>
          <w:szCs w:val="22"/>
        </w:rPr>
        <w:t>amawiającego.</w:t>
      </w:r>
    </w:p>
    <w:p w14:paraId="23ED1175" w14:textId="5F15D224" w:rsidR="008C6BF9" w:rsidRPr="008C6BF9" w:rsidRDefault="008C6BF9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t>Oświadczenie, o którym mowa w ust. 1,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</w:t>
      </w:r>
      <w:r w:rsidR="00D52A04">
        <w:rPr>
          <w:rFonts w:ascii="Verdana" w:hAnsi="Verdana"/>
          <w:sz w:val="22"/>
          <w:szCs w:val="22"/>
        </w:rPr>
        <w:t xml:space="preserve"> lub JEDZ</w:t>
      </w:r>
      <w:r w:rsidRPr="008C6BF9">
        <w:rPr>
          <w:rFonts w:ascii="Verdana" w:hAnsi="Verdana"/>
          <w:sz w:val="22"/>
          <w:szCs w:val="22"/>
        </w:rPr>
        <w:t>".</w:t>
      </w:r>
    </w:p>
    <w:p w14:paraId="58C38AC5" w14:textId="62A11742" w:rsidR="008C6BF9" w:rsidRPr="008C6BF9" w:rsidRDefault="008C6BF9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t>Oświadczenie, o którym mowa w ust. 1, stanowi dowód potwierdzający brak podstaw wykluczenia, spełnianie warunków udziału w postępowaniu na dzień składania ofert</w:t>
      </w:r>
      <w:r>
        <w:rPr>
          <w:rFonts w:ascii="Verdana" w:hAnsi="Verdana"/>
          <w:sz w:val="22"/>
          <w:szCs w:val="22"/>
        </w:rPr>
        <w:t xml:space="preserve"> </w:t>
      </w:r>
      <w:r w:rsidRPr="008C6BF9">
        <w:rPr>
          <w:rFonts w:ascii="Verdana" w:hAnsi="Verdana"/>
          <w:sz w:val="22"/>
          <w:szCs w:val="22"/>
        </w:rPr>
        <w:t xml:space="preserve">tymczasowo zastępujący wymagane przez </w:t>
      </w:r>
      <w:r>
        <w:rPr>
          <w:rFonts w:ascii="Verdana" w:hAnsi="Verdana"/>
          <w:sz w:val="22"/>
          <w:szCs w:val="22"/>
        </w:rPr>
        <w:t>Z</w:t>
      </w:r>
      <w:r w:rsidRPr="008C6BF9">
        <w:rPr>
          <w:rFonts w:ascii="Verdana" w:hAnsi="Verdana"/>
          <w:sz w:val="22"/>
          <w:szCs w:val="22"/>
        </w:rPr>
        <w:t xml:space="preserve">amawiającego podmiotowe środki dowodowe. </w:t>
      </w:r>
    </w:p>
    <w:p w14:paraId="60AF9C87" w14:textId="43471C36" w:rsidR="008C6BF9" w:rsidRPr="008C6BF9" w:rsidRDefault="008C6BF9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t>W przypadku wspólnego ubiegania się o zamówienie przez wykonawców, oświadczenie, o którym mowa w ust.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C14D5A3" w14:textId="5869BEF8" w:rsidR="008C6BF9" w:rsidRPr="008C6BF9" w:rsidRDefault="008C6BF9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5654ABF3" w14:textId="2BE6119E" w:rsidR="008C6BF9" w:rsidRDefault="008C6BF9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C6BF9">
        <w:rPr>
          <w:rFonts w:ascii="Verdana" w:hAnsi="Verdana"/>
          <w:sz w:val="22"/>
          <w:szCs w:val="22"/>
        </w:rPr>
        <w:lastRenderedPageBreak/>
        <w:t>Wykonawca może wykorzystać jednolity dokument złożony w odrębnym postępowaniu o udzieleni e zamówienia, jeżeli potwierdzi, że informacje w nim zawarte pozostają prawidłowe.</w:t>
      </w:r>
    </w:p>
    <w:p w14:paraId="343EA2DB" w14:textId="5F12B000" w:rsidR="00383DEE" w:rsidRPr="008C6BF9" w:rsidRDefault="00383DEE" w:rsidP="008C6BF9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383DEE">
        <w:rPr>
          <w:rFonts w:ascii="Verdana" w:hAnsi="Verdana"/>
          <w:sz w:val="22"/>
          <w:szCs w:val="22"/>
        </w:rPr>
        <w:t xml:space="preserve">ykonawcy zobowiązani są </w:t>
      </w:r>
      <w:r>
        <w:rPr>
          <w:rFonts w:ascii="Verdana" w:hAnsi="Verdana"/>
          <w:sz w:val="22"/>
          <w:szCs w:val="22"/>
        </w:rPr>
        <w:t xml:space="preserve">dołączyć do oferty </w:t>
      </w:r>
      <w:r w:rsidRPr="00383DEE">
        <w:rPr>
          <w:rFonts w:ascii="Verdana" w:hAnsi="Verdana"/>
          <w:sz w:val="22"/>
          <w:szCs w:val="22"/>
        </w:rPr>
        <w:t>oświadczenie</w:t>
      </w:r>
      <w:r>
        <w:rPr>
          <w:rFonts w:ascii="Verdana" w:hAnsi="Verdana"/>
          <w:sz w:val="22"/>
          <w:szCs w:val="22"/>
        </w:rPr>
        <w:t>/</w:t>
      </w:r>
      <w:proofErr w:type="spellStart"/>
      <w:r>
        <w:rPr>
          <w:rFonts w:ascii="Verdana" w:hAnsi="Verdana"/>
          <w:sz w:val="22"/>
          <w:szCs w:val="22"/>
        </w:rPr>
        <w:t>nia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383DEE">
        <w:rPr>
          <w:rFonts w:ascii="Verdana" w:hAnsi="Verdana"/>
          <w:sz w:val="22"/>
          <w:szCs w:val="22"/>
        </w:rPr>
        <w:t>na standardowym formularzu JEDZ, pod rygorem nieważności, w formie elektronicznej. Do zachowania formy elektronicznej wystarcza złożenie JEDZ w postaci elektronicznej i opatrzenie go kwalifikowanym podpisem elektronicznym.</w:t>
      </w:r>
    </w:p>
    <w:p w14:paraId="72303FC9" w14:textId="3367326E" w:rsidR="005A7010" w:rsidRPr="005A7010" w:rsidRDefault="005A7010" w:rsidP="005A7010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5A7010">
        <w:rPr>
          <w:rFonts w:ascii="Verdana" w:hAnsi="Verdana"/>
          <w:sz w:val="22"/>
          <w:szCs w:val="22"/>
        </w:rPr>
        <w:t>W celu potwierdzenia, że wykonawca spełnia warunki udziału w postępowaniu określone przez Zamawiającego w części</w:t>
      </w:r>
      <w:r w:rsidR="008C6BF9">
        <w:rPr>
          <w:rFonts w:ascii="Verdana" w:hAnsi="Verdana"/>
          <w:sz w:val="22"/>
          <w:szCs w:val="22"/>
        </w:rPr>
        <w:t xml:space="preserve"> XIII SWZ</w:t>
      </w:r>
      <w:r w:rsidRPr="005A7010">
        <w:rPr>
          <w:rFonts w:ascii="Verdana" w:hAnsi="Verdana"/>
          <w:sz w:val="22"/>
          <w:szCs w:val="22"/>
        </w:rPr>
        <w:t xml:space="preserve">  - Zamawiający wymaga, aby wykonawca w części IV JEDZ wypełnił tylko sekcję ALFA</w:t>
      </w:r>
      <w:r w:rsidR="008C6BF9">
        <w:rPr>
          <w:rFonts w:ascii="Verdana" w:hAnsi="Verdana"/>
          <w:sz w:val="22"/>
          <w:szCs w:val="22"/>
        </w:rPr>
        <w:t>.</w:t>
      </w:r>
    </w:p>
    <w:p w14:paraId="1ED28514" w14:textId="77777777" w:rsidR="00383DEE" w:rsidRPr="00383DEE" w:rsidRDefault="00383DEE" w:rsidP="00383DEE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 xml:space="preserve">W sekcji III JEDZ Sekcja A formularza wykonawca składa oświadczenie dotyczące niekaralności jedynie w zakresie konkretnych, poniżej wskazanych przestępstw, których dotyczą przesłanki ustawowe z art. 108 ust. 1 pkt 1 i pkt 2 ustawy </w:t>
      </w:r>
      <w:proofErr w:type="spellStart"/>
      <w:r w:rsidRPr="00383DEE">
        <w:rPr>
          <w:rFonts w:ascii="Verdana" w:hAnsi="Verdana"/>
          <w:sz w:val="22"/>
          <w:szCs w:val="22"/>
        </w:rPr>
        <w:t>Pzp</w:t>
      </w:r>
      <w:proofErr w:type="spellEnd"/>
      <w:r w:rsidRPr="00383DEE">
        <w:rPr>
          <w:rFonts w:ascii="Verdana" w:hAnsi="Verdana"/>
          <w:sz w:val="22"/>
          <w:szCs w:val="22"/>
        </w:rPr>
        <w:t>, a które jednocześnie stanowią implementację art. 57 ust. 1 dyrektywy, tj.:</w:t>
      </w:r>
    </w:p>
    <w:p w14:paraId="0D480026" w14:textId="448BA456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udział w organizacji przestępczej, czyli na gruncie prawa krajowego - art. 258 Kodeksu karnego;</w:t>
      </w:r>
    </w:p>
    <w:p w14:paraId="1E3A67E8" w14:textId="42A5F8D2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korupcja, czyli art. 228-230a lub 250a Kodeksu karnego lub art. 46 lub art. 48 ustawy o sporcie;</w:t>
      </w:r>
    </w:p>
    <w:p w14:paraId="41B0E84D" w14:textId="582A325A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nadużycie finansowe - przestępstwo oszustwa, o którym mowa w art. 286 Kodeksu karnego, jak również przestępstwa skarbowe, o których mowa w art. 108 ust. 1 pkt 1 lit. g) ustawy;</w:t>
      </w:r>
    </w:p>
    <w:p w14:paraId="3ACCB494" w14:textId="03242D30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przestępstwa terrorystyczne lub przestępstwa związane z działalnością terrorystyczną, czyli przestępstwa o charakterze terrorystycznym, o których mowa w art. 24 ust. 1 pkt 13 lit. c) ustawy;</w:t>
      </w:r>
    </w:p>
    <w:p w14:paraId="5A386D1A" w14:textId="1BC7E480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pranie pieniędzy lub finansowanie terroryzmu - art. 299 lub art. 165a Kodeksu karnego;</w:t>
      </w:r>
    </w:p>
    <w:p w14:paraId="41BE6865" w14:textId="3142F7AC" w:rsidR="00383DEE" w:rsidRPr="00383DEE" w:rsidRDefault="00383DEE" w:rsidP="00383DEE">
      <w:pPr>
        <w:pStyle w:val="Akapitzlist"/>
        <w:numPr>
          <w:ilvl w:val="0"/>
          <w:numId w:val="7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praca dzieci i inne formy handlu ludźmi - powierzenie wykonywania pracy małoletniemu cudzoziemcowi, o którym mowa w art. 9 ust. 2 ustawy o skutkach powierzania wykonywania pracy cudzoziemcom przebywającym wbrew przepisom na terytorium Rzeczypospolitej Polskiej, oraz handel ludźmi, o którym mowa w art. 189a Kodeksu karnego.</w:t>
      </w:r>
    </w:p>
    <w:p w14:paraId="640FB1AE" w14:textId="4EF946CD" w:rsidR="00383DEE" w:rsidRPr="00383DEE" w:rsidRDefault="00383DEE" w:rsidP="00383DEE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lastRenderedPageBreak/>
        <w:t xml:space="preserve">Pozostałe podstawy wykluczenia z art. 108 ust. 1 pkt 1 i 2 </w:t>
      </w:r>
      <w:proofErr w:type="spellStart"/>
      <w:r w:rsidRPr="00383DEE">
        <w:rPr>
          <w:rFonts w:ascii="Verdana" w:hAnsi="Verdana"/>
          <w:sz w:val="22"/>
          <w:szCs w:val="22"/>
        </w:rPr>
        <w:t>Pzp</w:t>
      </w:r>
      <w:proofErr w:type="spellEnd"/>
      <w:r w:rsidRPr="00383DEE">
        <w:rPr>
          <w:rFonts w:ascii="Verdana" w:hAnsi="Verdana"/>
          <w:sz w:val="22"/>
          <w:szCs w:val="22"/>
        </w:rPr>
        <w:t xml:space="preserve">, które nie stanowią wdrożenia art. 57 ust. 1 dyrektywy, </w:t>
      </w:r>
      <w:r w:rsidR="005C4B1E">
        <w:rPr>
          <w:rFonts w:ascii="Verdana" w:hAnsi="Verdana"/>
          <w:sz w:val="22"/>
          <w:szCs w:val="22"/>
        </w:rPr>
        <w:t>wykonawca</w:t>
      </w:r>
      <w:r w:rsidRPr="00383DEE">
        <w:rPr>
          <w:rFonts w:ascii="Verdana" w:hAnsi="Verdana"/>
          <w:sz w:val="22"/>
          <w:szCs w:val="22"/>
        </w:rPr>
        <w:t xml:space="preserve"> uwzględni w innych sekcjach tej części formularza:</w:t>
      </w:r>
    </w:p>
    <w:p w14:paraId="4920589F" w14:textId="6D7C2600" w:rsidR="00383DEE" w:rsidRPr="00383DEE" w:rsidRDefault="00383DEE" w:rsidP="00383DEE">
      <w:pPr>
        <w:pStyle w:val="Akapitzlist"/>
        <w:numPr>
          <w:ilvl w:val="0"/>
          <w:numId w:val="8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w sekcji C w podsekcji dotyczącej naruszenia obowiązków w dziedzinie prawa środowiska, prawa socjalnego i prawa pracy o przestępstwo, o którym mowa w art. 9 ust. 1 i 3 lub art. 10 ustawy z dnia 15 czerwca 2012 r. o skutkach powierzania wykonywania pracy cudzoziemcom przebywającym wbrew przepisom na terytorium Rzeczypospolitej Polskiej);</w:t>
      </w:r>
    </w:p>
    <w:p w14:paraId="78F4A1A0" w14:textId="55DF6C6E" w:rsidR="00383DEE" w:rsidRPr="00383DEE" w:rsidRDefault="00383DEE" w:rsidP="00383DEE">
      <w:pPr>
        <w:pStyle w:val="Akapitzlist"/>
        <w:numPr>
          <w:ilvl w:val="0"/>
          <w:numId w:val="8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w sekcji D dotyczącej krajowych podstaw wykluczenia: przestępstwa przeciwko wiarygodności dokumentów wymienione w art. 270 - 277d Kodeksu karnego; o przestępstwa przeciwko obrotowi gospodarczemu wymienione w przepisach art. 296 - 307 Kodeksu karnego - z wyjątkiem art. 299 (pranie pieniędzy).</w:t>
      </w:r>
    </w:p>
    <w:p w14:paraId="5B790CBB" w14:textId="245D5AFF" w:rsidR="00383DEE" w:rsidRPr="00383DEE" w:rsidRDefault="00383DEE" w:rsidP="00383DEE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Wymaganie, o którym mowa w ust. 10 pkt 2</w:t>
      </w:r>
      <w:r w:rsidRPr="00383DEE">
        <w:rPr>
          <w:rFonts w:ascii="Verdana" w:hAnsi="Verdana"/>
          <w:sz w:val="22"/>
          <w:szCs w:val="22"/>
        </w:rPr>
        <w:t xml:space="preserve"> dotyczy następujących podstaw wykluczenia:</w:t>
      </w:r>
    </w:p>
    <w:p w14:paraId="4DEA4AC2" w14:textId="7864C7A5" w:rsidR="00383DEE" w:rsidRPr="00383DEE" w:rsidRDefault="00383DEE" w:rsidP="00383DEE">
      <w:pPr>
        <w:pStyle w:val="Akapitzlist"/>
        <w:numPr>
          <w:ilvl w:val="0"/>
          <w:numId w:val="9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 xml:space="preserve">wykluczenia wykonawcy w przypadku skazania za przestępstwa przeciwko wiarygodności dokumentów i przestępstwa przeciwko obrotowi gospodarczemu (art. 108 ust. 1 pkt 1 lit. g) i pkt 2 </w:t>
      </w:r>
      <w:proofErr w:type="spellStart"/>
      <w:r w:rsidRPr="00383DEE">
        <w:rPr>
          <w:rFonts w:ascii="Verdana" w:hAnsi="Verdana"/>
          <w:sz w:val="22"/>
          <w:szCs w:val="22"/>
        </w:rPr>
        <w:t>Pzp</w:t>
      </w:r>
      <w:proofErr w:type="spellEnd"/>
      <w:r w:rsidRPr="00383DEE">
        <w:rPr>
          <w:rFonts w:ascii="Verdana" w:hAnsi="Verdana"/>
          <w:sz w:val="22"/>
          <w:szCs w:val="22"/>
        </w:rPr>
        <w:t>), tj. za przestępstwa, o których mowa w art. 270- 277d Kodeksu karnego [przestępstwa wiarygodności dokumentów] i przestępstwa, o których mowa w art. 296-307 Kodeksu karnego [przestępstwa przeciwko obrotowi gospodarczemu] , z wyjątkiem przestępstwa udaremniania lub utrudniania stwierdzenia przestępnego pochodzenia pieniędzy lub ukrywania ich pochodzenia, o którym mowa w art. 299 Kodeksu karnego - w tym zakresie wykonawca powinien dodatkowo wykazać ewentualne środki naprawcze;</w:t>
      </w:r>
    </w:p>
    <w:p w14:paraId="2AA7EF18" w14:textId="75EA4B27" w:rsidR="00383DEE" w:rsidRDefault="00383DEE" w:rsidP="00383DEE">
      <w:pPr>
        <w:pStyle w:val="Akapitzlist"/>
        <w:numPr>
          <w:ilvl w:val="0"/>
          <w:numId w:val="9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contextualSpacing w:val="0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 xml:space="preserve">wykluczenia wykonawcy, wobec którego prawomocnie orzeczono zakaz ubiegania się o zamówienia publiczne (art. 108 ust. 1 pkt 4 </w:t>
      </w:r>
      <w:proofErr w:type="spellStart"/>
      <w:r w:rsidRPr="00383DEE">
        <w:rPr>
          <w:rFonts w:ascii="Verdana" w:hAnsi="Verdana"/>
          <w:sz w:val="22"/>
          <w:szCs w:val="22"/>
        </w:rPr>
        <w:t>Pzp</w:t>
      </w:r>
      <w:proofErr w:type="spellEnd"/>
      <w:r w:rsidRPr="00383DEE">
        <w:rPr>
          <w:rFonts w:ascii="Verdana" w:hAnsi="Verdana"/>
          <w:sz w:val="22"/>
          <w:szCs w:val="22"/>
        </w:rPr>
        <w:t>); zakaz orzekany jest wobec podmiotu zbiorowego w oparciu o przepisy ustawy z dnia 28 października 2002 r. o odpowiedzialności podmiotów zbiorowych za czyny zabronione pod groźbą kary (Dz. U. z 2016 r. poz. 1541 oraz z 2017 r. poz. 724 i 933), a wobec osoby fizycznej w oparciu o przepisy Kodeksu postępowania karnego.</w:t>
      </w:r>
    </w:p>
    <w:p w14:paraId="668FBADE" w14:textId="2C78A03C" w:rsidR="005A7010" w:rsidRDefault="005A7010" w:rsidP="00383DEE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contextualSpacing w:val="0"/>
        <w:jc w:val="both"/>
        <w:textAlignment w:val="auto"/>
        <w:rPr>
          <w:rFonts w:ascii="Verdana" w:hAnsi="Verdana"/>
          <w:sz w:val="22"/>
          <w:szCs w:val="22"/>
        </w:rPr>
      </w:pPr>
      <w:r w:rsidRPr="005A7010">
        <w:rPr>
          <w:rFonts w:ascii="Verdana" w:hAnsi="Verdana"/>
          <w:b/>
          <w:bCs/>
          <w:sz w:val="22"/>
          <w:szCs w:val="22"/>
        </w:rPr>
        <w:t xml:space="preserve">Zamawiający </w:t>
      </w:r>
      <w:r w:rsidRPr="005A7010">
        <w:rPr>
          <w:rFonts w:ascii="Verdana" w:hAnsi="Verdana"/>
          <w:b/>
          <w:sz w:val="22"/>
          <w:szCs w:val="22"/>
        </w:rPr>
        <w:t>nie żąda od wykonawcy</w:t>
      </w:r>
      <w:r w:rsidRPr="005A7010">
        <w:rPr>
          <w:rFonts w:ascii="Verdana" w:hAnsi="Verdana"/>
          <w:sz w:val="22"/>
          <w:szCs w:val="22"/>
        </w:rPr>
        <w:t xml:space="preserve">, który zamierza powierzyć wykonanie części zamówienia podwykonawcom, złożenia JEDZ-a dotyczącego </w:t>
      </w:r>
      <w:r w:rsidRPr="005A7010">
        <w:rPr>
          <w:rFonts w:ascii="Verdana" w:hAnsi="Verdana"/>
          <w:sz w:val="22"/>
          <w:szCs w:val="22"/>
        </w:rPr>
        <w:lastRenderedPageBreak/>
        <w:t>podwykonawcy</w:t>
      </w:r>
      <w:r w:rsidR="008C6BF9">
        <w:rPr>
          <w:rFonts w:ascii="Verdana" w:hAnsi="Verdana"/>
          <w:sz w:val="22"/>
          <w:szCs w:val="22"/>
        </w:rPr>
        <w:t xml:space="preserve">, </w:t>
      </w:r>
      <w:r w:rsidRPr="005A7010">
        <w:rPr>
          <w:rFonts w:ascii="Verdana" w:hAnsi="Verdana"/>
          <w:sz w:val="22"/>
          <w:szCs w:val="22"/>
        </w:rPr>
        <w:t>który nie jest podmiotem na zasoby którego powołuje się wykonawca.</w:t>
      </w:r>
    </w:p>
    <w:p w14:paraId="72D5B138" w14:textId="3852204A" w:rsidR="00383DEE" w:rsidRDefault="00383DEE" w:rsidP="005A7010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ind w:left="357" w:hanging="499"/>
        <w:contextualSpacing w:val="0"/>
        <w:jc w:val="both"/>
        <w:textAlignment w:val="auto"/>
        <w:rPr>
          <w:rFonts w:ascii="Verdana" w:hAnsi="Verdana"/>
          <w:sz w:val="22"/>
          <w:szCs w:val="22"/>
        </w:rPr>
      </w:pPr>
      <w:r w:rsidRPr="00383DEE">
        <w:rPr>
          <w:rFonts w:ascii="Verdana" w:hAnsi="Verdana"/>
          <w:sz w:val="22"/>
          <w:szCs w:val="22"/>
        </w:rPr>
        <w:t>Pod adresem: https://espd.uzp.gov.pl/ dostępne jest elektroniczne narzędzie przygotowane przez Urząd Zamówień Publicznych w oparciu o narzędzie opracowane przez KE, które może być wykorzystane do realizacji obowiązku przekazywania JEDZ w formie elektronicznej.</w:t>
      </w:r>
    </w:p>
    <w:p w14:paraId="41AD79F2" w14:textId="03B9DE9F" w:rsidR="00383DEE" w:rsidRPr="005A7010" w:rsidRDefault="00383DEE" w:rsidP="005A7010">
      <w:pPr>
        <w:pStyle w:val="Akapitzlist"/>
        <w:numPr>
          <w:ilvl w:val="0"/>
          <w:numId w:val="5"/>
        </w:numPr>
        <w:tabs>
          <w:tab w:val="left" w:pos="0"/>
          <w:tab w:val="left" w:pos="5100"/>
        </w:tabs>
        <w:overflowPunct/>
        <w:autoSpaceDE/>
        <w:autoSpaceDN/>
        <w:adjustRightInd/>
        <w:spacing w:before="120" w:after="120" w:line="360" w:lineRule="auto"/>
        <w:ind w:left="357" w:hanging="499"/>
        <w:contextualSpacing w:val="0"/>
        <w:jc w:val="both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Instrukcja wypełniania JEDZ opracowana przez UZP dostępna </w:t>
      </w:r>
      <w:r w:rsidR="00126E5B">
        <w:rPr>
          <w:rFonts w:ascii="Verdana" w:hAnsi="Verdana"/>
          <w:sz w:val="22"/>
          <w:szCs w:val="22"/>
        </w:rPr>
        <w:t>mająca zastosowanie w niniejszym postepowaniu o udzielenie zamówienia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br/>
      </w:r>
      <w:r w:rsidRPr="00383DEE">
        <w:rPr>
          <w:rFonts w:ascii="Verdana" w:hAnsi="Verdana"/>
          <w:sz w:val="22"/>
          <w:szCs w:val="22"/>
        </w:rPr>
        <w:t>https://www.uzp.gov.pl/__data/assets/pdf_file/0026/45557/Jednolity-Europejski-Dokument-Zamowienia-instrukcja-2021.01.20.pdf</w:t>
      </w:r>
    </w:p>
    <w:p w14:paraId="3300B1D6" w14:textId="12572CB7" w:rsidR="005A7010" w:rsidRPr="005A7010" w:rsidRDefault="005A7010" w:rsidP="005A7010">
      <w:pPr>
        <w:tabs>
          <w:tab w:val="left" w:pos="0"/>
          <w:tab w:val="left" w:pos="5100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5A7010">
        <w:rPr>
          <w:rFonts w:ascii="Verdana" w:hAnsi="Verdana"/>
          <w:sz w:val="22"/>
          <w:szCs w:val="22"/>
        </w:rPr>
        <w:t xml:space="preserve">Załącznik nr </w:t>
      </w:r>
      <w:r w:rsidR="00D65FED">
        <w:rPr>
          <w:rFonts w:ascii="Verdana" w:hAnsi="Verdana"/>
          <w:sz w:val="22"/>
          <w:szCs w:val="22"/>
        </w:rPr>
        <w:t>3</w:t>
      </w:r>
      <w:r w:rsidR="008C6BF9">
        <w:rPr>
          <w:rFonts w:ascii="Verdana" w:hAnsi="Verdana"/>
          <w:sz w:val="22"/>
          <w:szCs w:val="22"/>
        </w:rPr>
        <w:t>.1</w:t>
      </w:r>
      <w:r w:rsidRPr="005A7010">
        <w:rPr>
          <w:rFonts w:ascii="Verdana" w:hAnsi="Verdana"/>
          <w:sz w:val="22"/>
          <w:szCs w:val="22"/>
        </w:rPr>
        <w:t xml:space="preserve"> do stanowi formularz JEDZ</w:t>
      </w:r>
    </w:p>
    <w:p w14:paraId="5AC4EAA9" w14:textId="77777777" w:rsidR="00E637E2" w:rsidRPr="005A7010" w:rsidRDefault="00E637E2" w:rsidP="005A7010">
      <w:pPr>
        <w:contextualSpacing/>
        <w:rPr>
          <w:rFonts w:ascii="Calibri" w:hAnsi="Calibri" w:cs="Book Antiqua"/>
          <w:b/>
          <w:bCs/>
          <w:sz w:val="22"/>
          <w:szCs w:val="22"/>
        </w:rPr>
      </w:pPr>
    </w:p>
    <w:sectPr w:rsidR="00E637E2" w:rsidRPr="005A70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0F91" w14:textId="77777777" w:rsidR="0022675A" w:rsidRDefault="0022675A" w:rsidP="00FF3092">
      <w:r>
        <w:separator/>
      </w:r>
    </w:p>
  </w:endnote>
  <w:endnote w:type="continuationSeparator" w:id="0">
    <w:p w14:paraId="2D8A29B0" w14:textId="77777777" w:rsidR="0022675A" w:rsidRDefault="0022675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E3FE" w14:textId="77777777" w:rsidR="0022675A" w:rsidRDefault="0022675A" w:rsidP="00FF3092">
      <w:r>
        <w:separator/>
      </w:r>
    </w:p>
  </w:footnote>
  <w:footnote w:type="continuationSeparator" w:id="0">
    <w:p w14:paraId="3961F627" w14:textId="77777777" w:rsidR="0022675A" w:rsidRDefault="0022675A" w:rsidP="00FF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85F"/>
    <w:multiLevelType w:val="multilevel"/>
    <w:tmpl w:val="AC023A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2196"/>
    <w:multiLevelType w:val="multilevel"/>
    <w:tmpl w:val="84ECC4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 w15:restartNumberingAfterBreak="0">
    <w:nsid w:val="10A67022"/>
    <w:multiLevelType w:val="multilevel"/>
    <w:tmpl w:val="CC4AB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775EA"/>
    <w:multiLevelType w:val="multilevel"/>
    <w:tmpl w:val="DD14C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1824BB"/>
    <w:multiLevelType w:val="multilevel"/>
    <w:tmpl w:val="81669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43D76"/>
    <w:rsid w:val="000928C9"/>
    <w:rsid w:val="00096C58"/>
    <w:rsid w:val="000A5F5F"/>
    <w:rsid w:val="000E12B4"/>
    <w:rsid w:val="001264C2"/>
    <w:rsid w:val="00126E5B"/>
    <w:rsid w:val="001355E3"/>
    <w:rsid w:val="001F63CF"/>
    <w:rsid w:val="002115BE"/>
    <w:rsid w:val="0022675A"/>
    <w:rsid w:val="00226DC1"/>
    <w:rsid w:val="002827A7"/>
    <w:rsid w:val="00334256"/>
    <w:rsid w:val="003367E7"/>
    <w:rsid w:val="003443D6"/>
    <w:rsid w:val="0038189F"/>
    <w:rsid w:val="00383DEE"/>
    <w:rsid w:val="00443FEA"/>
    <w:rsid w:val="004708F1"/>
    <w:rsid w:val="00495059"/>
    <w:rsid w:val="004A0577"/>
    <w:rsid w:val="004A7AB9"/>
    <w:rsid w:val="005360D8"/>
    <w:rsid w:val="00583764"/>
    <w:rsid w:val="00594061"/>
    <w:rsid w:val="005A7010"/>
    <w:rsid w:val="005C4B1E"/>
    <w:rsid w:val="006441D3"/>
    <w:rsid w:val="00715BBF"/>
    <w:rsid w:val="00784998"/>
    <w:rsid w:val="00791163"/>
    <w:rsid w:val="00822CE7"/>
    <w:rsid w:val="00882385"/>
    <w:rsid w:val="00893F0C"/>
    <w:rsid w:val="008B3D3C"/>
    <w:rsid w:val="008C6BF9"/>
    <w:rsid w:val="008D72E5"/>
    <w:rsid w:val="009354F2"/>
    <w:rsid w:val="0093669A"/>
    <w:rsid w:val="0095328E"/>
    <w:rsid w:val="009A130E"/>
    <w:rsid w:val="009A6A00"/>
    <w:rsid w:val="00A573BE"/>
    <w:rsid w:val="00AB13FF"/>
    <w:rsid w:val="00AF2DB7"/>
    <w:rsid w:val="00C123E8"/>
    <w:rsid w:val="00C325E4"/>
    <w:rsid w:val="00C753A4"/>
    <w:rsid w:val="00D00BDA"/>
    <w:rsid w:val="00D52A04"/>
    <w:rsid w:val="00D65FED"/>
    <w:rsid w:val="00D661A2"/>
    <w:rsid w:val="00DD480F"/>
    <w:rsid w:val="00DD5960"/>
    <w:rsid w:val="00E2640F"/>
    <w:rsid w:val="00E535AC"/>
    <w:rsid w:val="00E637E2"/>
    <w:rsid w:val="00E71A1D"/>
    <w:rsid w:val="00EB20D8"/>
    <w:rsid w:val="00F070EA"/>
    <w:rsid w:val="00F15634"/>
    <w:rsid w:val="00FD400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5A7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A70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2021-12-06T12:48:00Z</dcterms:created>
  <dcterms:modified xsi:type="dcterms:W3CDTF">2021-12-06T12:48:00Z</dcterms:modified>
</cp:coreProperties>
</file>